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03" w:rsidRPr="006C175F" w:rsidRDefault="006C175F">
      <w:pPr>
        <w:rPr>
          <w:rFonts w:ascii="Times New Roman" w:hAnsi="Times New Roman" w:cs="Times New Roman"/>
          <w:b/>
        </w:rPr>
      </w:pPr>
      <w:r w:rsidRPr="006C175F">
        <w:rPr>
          <w:rFonts w:ascii="Times New Roman" w:hAnsi="Times New Roman" w:cs="Times New Roman"/>
          <w:b/>
        </w:rPr>
        <w:t>Christopher</w:t>
      </w:r>
      <w:r>
        <w:rPr>
          <w:rFonts w:ascii="Times New Roman" w:hAnsi="Times New Roman" w:cs="Times New Roman"/>
          <w:b/>
        </w:rPr>
        <w:t xml:space="preserve"> Kam</w:t>
      </w:r>
      <w:r w:rsidRPr="006C175F">
        <w:rPr>
          <w:rFonts w:ascii="Times New Roman" w:hAnsi="Times New Roman" w:cs="Times New Roman"/>
          <w:b/>
        </w:rPr>
        <w:t xml:space="preserve">. 2000. “Not Just Parliamentary ‘Cowboys and Indians’: Ministerial Responsibility and Bureaucratic Drift.” </w:t>
      </w:r>
      <w:r w:rsidRPr="006C175F">
        <w:rPr>
          <w:rFonts w:ascii="Times New Roman" w:hAnsi="Times New Roman" w:cs="Times New Roman"/>
          <w:b/>
          <w:i/>
        </w:rPr>
        <w:t>Governance</w:t>
      </w:r>
      <w:r w:rsidRPr="006C175F">
        <w:rPr>
          <w:rFonts w:ascii="Times New Roman" w:hAnsi="Times New Roman" w:cs="Times New Roman"/>
          <w:b/>
        </w:rPr>
        <w:t xml:space="preserve"> 13(3):365-392.</w:t>
      </w:r>
    </w:p>
    <w:p w:rsidR="006C175F" w:rsidRPr="006C175F" w:rsidRDefault="006C175F">
      <w:pPr>
        <w:rPr>
          <w:rFonts w:ascii="Times New Roman" w:hAnsi="Times New Roman" w:cs="Times New Roman"/>
          <w:lang w:val="en-US"/>
        </w:rPr>
      </w:pPr>
    </w:p>
    <w:p w:rsidR="00957103" w:rsidRPr="006C175F" w:rsidRDefault="00957103">
      <w:pPr>
        <w:rPr>
          <w:rFonts w:ascii="Times New Roman" w:hAnsi="Times New Roman" w:cs="Times New Roman"/>
          <w:b/>
          <w:lang w:val="en-US"/>
        </w:rPr>
      </w:pPr>
      <w:r w:rsidRPr="006C175F">
        <w:rPr>
          <w:rFonts w:ascii="Times New Roman" w:hAnsi="Times New Roman" w:cs="Times New Roman"/>
          <w:b/>
          <w:lang w:val="en-US"/>
        </w:rPr>
        <w:t>Approach</w:t>
      </w:r>
    </w:p>
    <w:p w:rsidR="00957103" w:rsidRPr="006C175F" w:rsidRDefault="00957103">
      <w:pPr>
        <w:rPr>
          <w:rFonts w:ascii="Times New Roman" w:hAnsi="Times New Roman" w:cs="Times New Roman"/>
          <w:lang w:val="en-US"/>
        </w:rPr>
      </w:pPr>
      <w:r w:rsidRPr="006C175F">
        <w:rPr>
          <w:rFonts w:ascii="Times New Roman" w:hAnsi="Times New Roman" w:cs="Times New Roman"/>
          <w:lang w:val="en-US"/>
        </w:rPr>
        <w:t>Rational choice institutionalism / quantitative</w:t>
      </w:r>
    </w:p>
    <w:p w:rsidR="00957103" w:rsidRPr="006C175F" w:rsidRDefault="00957103">
      <w:pPr>
        <w:rPr>
          <w:rFonts w:ascii="Times New Roman" w:hAnsi="Times New Roman" w:cs="Times New Roman"/>
          <w:lang w:val="en-US"/>
        </w:rPr>
      </w:pPr>
    </w:p>
    <w:p w:rsidR="00957103" w:rsidRPr="006C175F" w:rsidRDefault="00957103">
      <w:pPr>
        <w:rPr>
          <w:rFonts w:ascii="Times New Roman" w:hAnsi="Times New Roman" w:cs="Times New Roman"/>
          <w:b/>
          <w:lang w:val="en-US"/>
        </w:rPr>
      </w:pPr>
      <w:r w:rsidRPr="006C175F">
        <w:rPr>
          <w:rFonts w:ascii="Times New Roman" w:hAnsi="Times New Roman" w:cs="Times New Roman"/>
          <w:b/>
          <w:lang w:val="en-US"/>
        </w:rPr>
        <w:t>Thesis</w:t>
      </w:r>
    </w:p>
    <w:p w:rsidR="006C175F" w:rsidRPr="006C175F" w:rsidRDefault="00957103">
      <w:pPr>
        <w:rPr>
          <w:rFonts w:ascii="Times New Roman" w:hAnsi="Times New Roman" w:cs="Times New Roman"/>
          <w:lang w:val="en-US"/>
        </w:rPr>
      </w:pPr>
      <w:r w:rsidRPr="006C175F">
        <w:rPr>
          <w:rFonts w:ascii="Times New Roman" w:hAnsi="Times New Roman" w:cs="Times New Roman"/>
          <w:lang w:val="en-US"/>
        </w:rPr>
        <w:t>Using game theory, it can be demo</w:t>
      </w:r>
      <w:r w:rsidR="006C175F" w:rsidRPr="006C175F">
        <w:rPr>
          <w:rFonts w:ascii="Times New Roman" w:hAnsi="Times New Roman" w:cs="Times New Roman"/>
          <w:lang w:val="en-US"/>
        </w:rPr>
        <w:t xml:space="preserve">nstrated that retaining the strict doctrine of Ministerial responsibility provides Ministers with more incentive to police the bureaucracy than a modified system in which civil servants become </w:t>
      </w:r>
      <w:r w:rsidR="00112AA4">
        <w:rPr>
          <w:rFonts w:ascii="Times New Roman" w:hAnsi="Times New Roman" w:cs="Times New Roman"/>
          <w:lang w:val="en-US"/>
        </w:rPr>
        <w:t xml:space="preserve">directly </w:t>
      </w:r>
      <w:r w:rsidR="006C175F" w:rsidRPr="006C175F">
        <w:rPr>
          <w:rFonts w:ascii="Times New Roman" w:hAnsi="Times New Roman" w:cs="Times New Roman"/>
          <w:lang w:val="en-US"/>
        </w:rPr>
        <w:t>accountable to Parliament</w:t>
      </w:r>
      <w:r w:rsidR="00112AA4">
        <w:rPr>
          <w:rFonts w:ascii="Times New Roman" w:hAnsi="Times New Roman" w:cs="Times New Roman"/>
          <w:lang w:val="en-US"/>
        </w:rPr>
        <w:t>.</w:t>
      </w:r>
    </w:p>
    <w:p w:rsidR="006C175F" w:rsidRPr="006C175F" w:rsidRDefault="006C175F">
      <w:pPr>
        <w:rPr>
          <w:rFonts w:ascii="Times New Roman" w:hAnsi="Times New Roman" w:cs="Times New Roman"/>
          <w:lang w:val="en-US"/>
        </w:rPr>
      </w:pPr>
    </w:p>
    <w:p w:rsidR="006C175F" w:rsidRPr="006C175F" w:rsidRDefault="006C175F">
      <w:pPr>
        <w:rPr>
          <w:rFonts w:ascii="Times New Roman" w:hAnsi="Times New Roman" w:cs="Times New Roman"/>
          <w:b/>
          <w:lang w:val="en-US"/>
        </w:rPr>
      </w:pPr>
      <w:r w:rsidRPr="006C175F">
        <w:rPr>
          <w:rFonts w:ascii="Times New Roman" w:hAnsi="Times New Roman" w:cs="Times New Roman"/>
          <w:b/>
          <w:lang w:val="en-US"/>
        </w:rPr>
        <w:t>Key Findings</w:t>
      </w:r>
    </w:p>
    <w:p w:rsidR="00957103" w:rsidRDefault="006C175F" w:rsidP="006C17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modern interpretation of individual ministerial accountability holds that Ministers should only resign in the event of a mistake if the Minister knew or should have known about it</w:t>
      </w:r>
    </w:p>
    <w:p w:rsidR="006C175F" w:rsidRDefault="006C175F" w:rsidP="006C17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However, </w:t>
      </w:r>
      <w:r w:rsidR="00D911A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the </w:t>
      </w:r>
      <w:r w:rsidR="00D911A7">
        <w:rPr>
          <w:rFonts w:ascii="Times New Roman" w:hAnsi="Times New Roman" w:cs="Times New Roman"/>
          <w:lang w:val="en-US"/>
        </w:rPr>
        <w:t xml:space="preserve">fact that the </w:t>
      </w:r>
      <w:r>
        <w:rPr>
          <w:rFonts w:ascii="Times New Roman" w:hAnsi="Times New Roman" w:cs="Times New Roman"/>
          <w:lang w:val="en-US"/>
        </w:rPr>
        <w:t xml:space="preserve">Minister is still the one who is accountable to Parliament </w:t>
      </w:r>
      <w:r w:rsidR="00D911A7">
        <w:rPr>
          <w:rFonts w:ascii="Times New Roman" w:hAnsi="Times New Roman" w:cs="Times New Roman"/>
          <w:lang w:val="en-US"/>
        </w:rPr>
        <w:t>is</w:t>
      </w:r>
      <w:r>
        <w:rPr>
          <w:rFonts w:ascii="Times New Roman" w:hAnsi="Times New Roman" w:cs="Times New Roman"/>
          <w:lang w:val="en-US"/>
        </w:rPr>
        <w:t xml:space="preserve"> </w:t>
      </w:r>
      <w:r w:rsidR="00D911A7">
        <w:rPr>
          <w:rFonts w:ascii="Times New Roman" w:hAnsi="Times New Roman" w:cs="Times New Roman"/>
          <w:lang w:val="en-US"/>
        </w:rPr>
        <w:t xml:space="preserve">seen to restrict Parliament’s ability </w:t>
      </w:r>
      <w:r>
        <w:rPr>
          <w:rFonts w:ascii="Times New Roman" w:hAnsi="Times New Roman" w:cs="Times New Roman"/>
          <w:lang w:val="en-US"/>
        </w:rPr>
        <w:t>to actually hold the person responsible for the mistake to account</w:t>
      </w:r>
      <w:r w:rsidR="00D911A7">
        <w:rPr>
          <w:rFonts w:ascii="Times New Roman" w:hAnsi="Times New Roman" w:cs="Times New Roman"/>
          <w:lang w:val="en-US"/>
        </w:rPr>
        <w:t xml:space="preserve"> (this is a principal agent question – the agents, bureaucrats, should be punished, not the principals, ministers).</w:t>
      </w:r>
    </w:p>
    <w:p w:rsidR="006C175F" w:rsidRDefault="006C175F" w:rsidP="006C17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Moving to hold bureaucrats to account rests on the idea that the Minister can be responsible for policy while the bureaucrats handle administration, a division that is difficult to identify in practice.</w:t>
      </w:r>
    </w:p>
    <w:p w:rsidR="006C175F" w:rsidRDefault="006C175F" w:rsidP="006C17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Kam admits that his model assumes that parties are unitary actors, which is questionable given that Ministerial scandals seen as opportunities for backbenchers to try to advance their own interests.</w:t>
      </w:r>
    </w:p>
    <w:p w:rsidR="006C175F" w:rsidRDefault="006C175F" w:rsidP="006C17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Establishes a game model examining the incentives for Ministers </w:t>
      </w:r>
      <w:r w:rsidR="00D911A7">
        <w:rPr>
          <w:rFonts w:ascii="Times New Roman" w:hAnsi="Times New Roman" w:cs="Times New Roman"/>
          <w:lang w:val="en-US"/>
        </w:rPr>
        <w:t>to correct misadministration by the civil service if they fail to correctly implement the government’s policies</w:t>
      </w:r>
    </w:p>
    <w:p w:rsidR="00D911A7" w:rsidRDefault="00D911A7" w:rsidP="006C17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model shows that the doctrine of Ministerial responsibility is helpful since it creates an incentive for opposition parties to more closely monitor the government (i.e. if the blame for a scandal falls on a non-partisan civil servant rather than a government member, then the opposition has little incentive to uncover it). </w:t>
      </w:r>
    </w:p>
    <w:p w:rsidR="00D911A7" w:rsidRDefault="00D911A7" w:rsidP="006C17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Odds of the opposition monitoring also increase as the distance between their policy preferences and those of the government increase.</w:t>
      </w:r>
    </w:p>
    <w:p w:rsidR="00112AA4" w:rsidRDefault="00112AA4" w:rsidP="006C17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failure of ministerial resignations should not be seen as the failure of ministerial accountability since ministers take corrective action in the face of embarrassing attacks from the opposition.</w:t>
      </w:r>
    </w:p>
    <w:p w:rsidR="00112AA4" w:rsidRDefault="00112AA4" w:rsidP="00112AA4">
      <w:pPr>
        <w:rPr>
          <w:rFonts w:ascii="Times New Roman" w:hAnsi="Times New Roman" w:cs="Times New Roman"/>
          <w:lang w:val="en-US"/>
        </w:rPr>
      </w:pPr>
    </w:p>
    <w:p w:rsidR="00112AA4" w:rsidRDefault="00112AA4" w:rsidP="00112AA4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Contribution</w:t>
      </w:r>
    </w:p>
    <w:p w:rsidR="009D6597" w:rsidRDefault="00112AA4" w:rsidP="00112AA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Identified by Malloy as the first article to examine the benefits of the “responsible government approach” using formal theory instead of a normative argument.</w:t>
      </w:r>
    </w:p>
    <w:p w:rsidR="008A7710" w:rsidRPr="008063C9" w:rsidRDefault="008A7710" w:rsidP="00112AA4">
      <w:pPr>
        <w:rPr>
          <w:rFonts w:ascii="Times New Roman" w:hAnsi="Times New Roman" w:cs="Times New Roman"/>
          <w:lang w:val="en-US"/>
        </w:rPr>
      </w:pPr>
    </w:p>
    <w:sectPr w:rsidR="008A7710" w:rsidRPr="008063C9" w:rsidSect="009F49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31D7"/>
    <w:multiLevelType w:val="hybridMultilevel"/>
    <w:tmpl w:val="4EBAB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B93CA3"/>
    <w:multiLevelType w:val="hybridMultilevel"/>
    <w:tmpl w:val="0136C422"/>
    <w:lvl w:ilvl="0" w:tplc="E662C9F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26AAC"/>
    <w:multiLevelType w:val="hybridMultilevel"/>
    <w:tmpl w:val="0E169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A6773A"/>
    <w:multiLevelType w:val="hybridMultilevel"/>
    <w:tmpl w:val="F87EAB54"/>
    <w:lvl w:ilvl="0" w:tplc="E662C9F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57103"/>
    <w:rsid w:val="00112AA4"/>
    <w:rsid w:val="001544EF"/>
    <w:rsid w:val="00170593"/>
    <w:rsid w:val="001C0A53"/>
    <w:rsid w:val="001C12B0"/>
    <w:rsid w:val="001C2FDE"/>
    <w:rsid w:val="001E3F36"/>
    <w:rsid w:val="00220268"/>
    <w:rsid w:val="00301B6A"/>
    <w:rsid w:val="004069BF"/>
    <w:rsid w:val="00415B35"/>
    <w:rsid w:val="004270D3"/>
    <w:rsid w:val="004E562F"/>
    <w:rsid w:val="004F6423"/>
    <w:rsid w:val="0069595E"/>
    <w:rsid w:val="006C175F"/>
    <w:rsid w:val="008063C9"/>
    <w:rsid w:val="008A7710"/>
    <w:rsid w:val="00957103"/>
    <w:rsid w:val="009D6597"/>
    <w:rsid w:val="009F4977"/>
    <w:rsid w:val="00BA0CD2"/>
    <w:rsid w:val="00C41EA8"/>
    <w:rsid w:val="00C424B9"/>
    <w:rsid w:val="00CD0A25"/>
    <w:rsid w:val="00CD0FB8"/>
    <w:rsid w:val="00D911A7"/>
    <w:rsid w:val="00E67756"/>
    <w:rsid w:val="00ED51E0"/>
    <w:rsid w:val="00F218BF"/>
    <w:rsid w:val="00F94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977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7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Thomas</dc:creator>
  <cp:keywords/>
  <dc:description/>
  <cp:lastModifiedBy>tgrad</cp:lastModifiedBy>
  <cp:revision>6</cp:revision>
  <dcterms:created xsi:type="dcterms:W3CDTF">2010-05-05T17:14:00Z</dcterms:created>
  <dcterms:modified xsi:type="dcterms:W3CDTF">2010-05-07T16:03:00Z</dcterms:modified>
</cp:coreProperties>
</file>